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8D5" w:rsidRDefault="000608D5" w:rsidP="000608D5">
      <w:pPr>
        <w:jc w:val="center"/>
        <w:rPr>
          <w:rFonts w:ascii="Times New Roman" w:hAnsi="Times New Roman" w:cs="Times New Roman"/>
          <w:b/>
          <w:sz w:val="28"/>
          <w:szCs w:val="28"/>
        </w:rPr>
      </w:pPr>
      <w:r w:rsidRPr="003E6DF7">
        <w:rPr>
          <w:rFonts w:ascii="Times New Roman" w:hAnsi="Times New Roman" w:cs="Times New Roman"/>
          <w:b/>
          <w:sz w:val="28"/>
          <w:szCs w:val="28"/>
        </w:rPr>
        <w:t xml:space="preserve">Women Street Vendors in South </w:t>
      </w:r>
      <w:proofErr w:type="spellStart"/>
      <w:r w:rsidRPr="003E6DF7">
        <w:rPr>
          <w:rFonts w:ascii="Times New Roman" w:hAnsi="Times New Roman" w:cs="Times New Roman"/>
          <w:b/>
          <w:sz w:val="28"/>
          <w:szCs w:val="28"/>
        </w:rPr>
        <w:t>Kamrup</w:t>
      </w:r>
      <w:proofErr w:type="spellEnd"/>
      <w:r w:rsidRPr="003E6DF7">
        <w:rPr>
          <w:rFonts w:ascii="Times New Roman" w:hAnsi="Times New Roman" w:cs="Times New Roman"/>
          <w:b/>
          <w:sz w:val="28"/>
          <w:szCs w:val="28"/>
        </w:rPr>
        <w:t xml:space="preserve">: </w:t>
      </w:r>
      <w:r>
        <w:rPr>
          <w:rFonts w:ascii="Times New Roman" w:hAnsi="Times New Roman" w:cs="Times New Roman"/>
          <w:b/>
          <w:sz w:val="28"/>
          <w:szCs w:val="28"/>
        </w:rPr>
        <w:t xml:space="preserve">Issues and challenges </w:t>
      </w:r>
    </w:p>
    <w:p w:rsidR="000608D5" w:rsidRPr="00BD4AF1" w:rsidRDefault="000608D5" w:rsidP="000608D5">
      <w:pPr>
        <w:spacing w:after="0"/>
        <w:jc w:val="center"/>
        <w:rPr>
          <w:rFonts w:ascii="Times New Roman" w:hAnsi="Times New Roman" w:cs="Times New Roman"/>
          <w:i/>
          <w:sz w:val="28"/>
          <w:szCs w:val="28"/>
        </w:rPr>
      </w:pPr>
      <w:r w:rsidRPr="00BD4AF1">
        <w:rPr>
          <w:rFonts w:ascii="Times New Roman" w:hAnsi="Times New Roman" w:cs="Times New Roman"/>
          <w:i/>
          <w:sz w:val="28"/>
          <w:szCs w:val="28"/>
        </w:rPr>
        <w:t xml:space="preserve">Dr. </w:t>
      </w:r>
      <w:proofErr w:type="spellStart"/>
      <w:r w:rsidRPr="00BD4AF1">
        <w:rPr>
          <w:rFonts w:ascii="Times New Roman" w:hAnsi="Times New Roman" w:cs="Times New Roman"/>
          <w:i/>
          <w:sz w:val="28"/>
          <w:szCs w:val="28"/>
        </w:rPr>
        <w:t>Ripun</w:t>
      </w:r>
      <w:proofErr w:type="spellEnd"/>
      <w:r w:rsidRPr="00BD4AF1">
        <w:rPr>
          <w:rFonts w:ascii="Times New Roman" w:hAnsi="Times New Roman" w:cs="Times New Roman"/>
          <w:i/>
          <w:sz w:val="28"/>
          <w:szCs w:val="28"/>
        </w:rPr>
        <w:t xml:space="preserve"> </w:t>
      </w:r>
      <w:proofErr w:type="spellStart"/>
      <w:r w:rsidRPr="00BD4AF1">
        <w:rPr>
          <w:rFonts w:ascii="Times New Roman" w:hAnsi="Times New Roman" w:cs="Times New Roman"/>
          <w:i/>
          <w:sz w:val="28"/>
          <w:szCs w:val="28"/>
        </w:rPr>
        <w:t>Doley</w:t>
      </w:r>
      <w:proofErr w:type="spellEnd"/>
    </w:p>
    <w:p w:rsidR="000608D5" w:rsidRPr="00BD4AF1" w:rsidRDefault="000608D5" w:rsidP="000608D5">
      <w:pPr>
        <w:spacing w:after="0"/>
        <w:jc w:val="center"/>
        <w:rPr>
          <w:rFonts w:ascii="Times New Roman" w:hAnsi="Times New Roman" w:cs="Times New Roman"/>
          <w:i/>
          <w:sz w:val="28"/>
          <w:szCs w:val="28"/>
        </w:rPr>
      </w:pPr>
      <w:r w:rsidRPr="00BD4AF1">
        <w:rPr>
          <w:rFonts w:ascii="Times New Roman" w:hAnsi="Times New Roman" w:cs="Times New Roman"/>
          <w:i/>
          <w:sz w:val="28"/>
          <w:szCs w:val="28"/>
        </w:rPr>
        <w:t>Assistant Professor</w:t>
      </w:r>
    </w:p>
    <w:p w:rsidR="000608D5" w:rsidRPr="00BD4AF1" w:rsidRDefault="000608D5" w:rsidP="000608D5">
      <w:pPr>
        <w:spacing w:after="0"/>
        <w:jc w:val="center"/>
        <w:rPr>
          <w:rFonts w:ascii="Times New Roman" w:hAnsi="Times New Roman" w:cs="Times New Roman"/>
          <w:i/>
          <w:sz w:val="28"/>
          <w:szCs w:val="28"/>
        </w:rPr>
      </w:pPr>
      <w:r w:rsidRPr="00BD4AF1">
        <w:rPr>
          <w:rFonts w:ascii="Times New Roman" w:hAnsi="Times New Roman" w:cs="Times New Roman"/>
          <w:i/>
          <w:sz w:val="28"/>
          <w:szCs w:val="28"/>
        </w:rPr>
        <w:t>Department of History</w:t>
      </w:r>
    </w:p>
    <w:p w:rsidR="000608D5" w:rsidRPr="00BD4AF1" w:rsidRDefault="000608D5" w:rsidP="000608D5">
      <w:pPr>
        <w:spacing w:after="0"/>
        <w:jc w:val="center"/>
        <w:rPr>
          <w:rFonts w:ascii="Times New Roman" w:hAnsi="Times New Roman" w:cs="Times New Roman"/>
          <w:i/>
          <w:sz w:val="28"/>
          <w:szCs w:val="28"/>
        </w:rPr>
      </w:pPr>
      <w:proofErr w:type="spellStart"/>
      <w:r w:rsidRPr="00BD4AF1">
        <w:rPr>
          <w:rFonts w:ascii="Times New Roman" w:hAnsi="Times New Roman" w:cs="Times New Roman"/>
          <w:i/>
          <w:sz w:val="28"/>
          <w:szCs w:val="28"/>
        </w:rPr>
        <w:t>Dakshin</w:t>
      </w:r>
      <w:proofErr w:type="spellEnd"/>
      <w:r w:rsidRPr="00BD4AF1">
        <w:rPr>
          <w:rFonts w:ascii="Times New Roman" w:hAnsi="Times New Roman" w:cs="Times New Roman"/>
          <w:i/>
          <w:sz w:val="28"/>
          <w:szCs w:val="28"/>
        </w:rPr>
        <w:t xml:space="preserve"> </w:t>
      </w:r>
      <w:proofErr w:type="spellStart"/>
      <w:r w:rsidRPr="00BD4AF1">
        <w:rPr>
          <w:rFonts w:ascii="Times New Roman" w:hAnsi="Times New Roman" w:cs="Times New Roman"/>
          <w:i/>
          <w:sz w:val="28"/>
          <w:szCs w:val="28"/>
        </w:rPr>
        <w:t>Kamrup</w:t>
      </w:r>
      <w:proofErr w:type="spellEnd"/>
      <w:r w:rsidRPr="00BD4AF1">
        <w:rPr>
          <w:rFonts w:ascii="Times New Roman" w:hAnsi="Times New Roman" w:cs="Times New Roman"/>
          <w:i/>
          <w:sz w:val="28"/>
          <w:szCs w:val="28"/>
        </w:rPr>
        <w:t xml:space="preserve"> Girls’ College, </w:t>
      </w:r>
      <w:proofErr w:type="spellStart"/>
      <w:r w:rsidRPr="00BD4AF1">
        <w:rPr>
          <w:rFonts w:ascii="Times New Roman" w:hAnsi="Times New Roman" w:cs="Times New Roman"/>
          <w:i/>
          <w:sz w:val="28"/>
          <w:szCs w:val="28"/>
        </w:rPr>
        <w:t>Mirza</w:t>
      </w:r>
      <w:proofErr w:type="spellEnd"/>
    </w:p>
    <w:p w:rsidR="000608D5" w:rsidRPr="002A034E" w:rsidRDefault="000608D5" w:rsidP="000608D5">
      <w:pPr>
        <w:spacing w:after="0"/>
        <w:jc w:val="center"/>
        <w:rPr>
          <w:rFonts w:ascii="Times New Roman" w:hAnsi="Times New Roman" w:cs="Times New Roman"/>
          <w:sz w:val="28"/>
          <w:szCs w:val="28"/>
        </w:rPr>
      </w:pPr>
      <w:r w:rsidRPr="00BD4AF1">
        <w:rPr>
          <w:rFonts w:ascii="Times New Roman" w:hAnsi="Times New Roman" w:cs="Times New Roman"/>
          <w:i/>
          <w:sz w:val="28"/>
          <w:szCs w:val="28"/>
        </w:rPr>
        <w:t xml:space="preserve">Email id: </w:t>
      </w:r>
      <w:r>
        <w:rPr>
          <w:rFonts w:ascii="Times New Roman" w:hAnsi="Times New Roman" w:cs="Times New Roman"/>
          <w:i/>
          <w:sz w:val="28"/>
          <w:szCs w:val="28"/>
        </w:rPr>
        <w:t>ripunhistory84@gmail.com</w:t>
      </w:r>
    </w:p>
    <w:p w:rsidR="000608D5" w:rsidRPr="004F22EA" w:rsidRDefault="000608D5" w:rsidP="000608D5">
      <w:pPr>
        <w:spacing w:before="100" w:beforeAutospacing="1" w:after="100" w:afterAutospacing="1" w:line="36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r w:rsidRPr="004F22EA">
        <w:rPr>
          <w:rFonts w:ascii="Times New Roman" w:eastAsia="Times New Roman" w:hAnsi="Times New Roman" w:cs="Times New Roman"/>
          <w:b/>
          <w:bCs/>
          <w:sz w:val="24"/>
          <w:szCs w:val="24"/>
        </w:rPr>
        <w:t>:</w:t>
      </w:r>
    </w:p>
    <w:p w:rsidR="000608D5" w:rsidRDefault="000608D5" w:rsidP="000608D5">
      <w:pPr>
        <w:spacing w:before="100" w:beforeAutospacing="1" w:after="100" w:afterAutospacing="1" w:line="360" w:lineRule="auto"/>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4F22EA">
        <w:rPr>
          <w:rFonts w:ascii="Times New Roman" w:eastAsia="Times New Roman" w:hAnsi="Times New Roman" w:cs="Times New Roman"/>
          <w:bCs/>
          <w:sz w:val="24"/>
          <w:szCs w:val="24"/>
        </w:rPr>
        <w:t xml:space="preserve">Street vending represents a significant aspect of the informal economy in South </w:t>
      </w:r>
      <w:proofErr w:type="spellStart"/>
      <w:r w:rsidRPr="004F22EA">
        <w:rPr>
          <w:rFonts w:ascii="Times New Roman" w:eastAsia="Times New Roman" w:hAnsi="Times New Roman" w:cs="Times New Roman"/>
          <w:bCs/>
          <w:sz w:val="24"/>
          <w:szCs w:val="24"/>
        </w:rPr>
        <w:t>Kamrup</w:t>
      </w:r>
      <w:proofErr w:type="spellEnd"/>
      <w:r w:rsidRPr="004F22EA">
        <w:rPr>
          <w:rFonts w:ascii="Times New Roman" w:eastAsia="Times New Roman" w:hAnsi="Times New Roman" w:cs="Times New Roman"/>
          <w:bCs/>
          <w:sz w:val="24"/>
          <w:szCs w:val="24"/>
        </w:rPr>
        <w:t xml:space="preserve">, serving as a crucial source of livelihood for women while simultaneously subjecting them to notable socio-economic vulnerabilities. This study, entitled "Women Street Vendors in South </w:t>
      </w:r>
      <w:proofErr w:type="spellStart"/>
      <w:r w:rsidRPr="004F22EA">
        <w:rPr>
          <w:rFonts w:ascii="Times New Roman" w:eastAsia="Times New Roman" w:hAnsi="Times New Roman" w:cs="Times New Roman"/>
          <w:bCs/>
          <w:sz w:val="24"/>
          <w:szCs w:val="24"/>
        </w:rPr>
        <w:t>Kamrup</w:t>
      </w:r>
      <w:proofErr w:type="spellEnd"/>
      <w:r w:rsidRPr="004F22EA">
        <w:rPr>
          <w:rFonts w:ascii="Times New Roman" w:eastAsia="Times New Roman" w:hAnsi="Times New Roman" w:cs="Times New Roman"/>
          <w:bCs/>
          <w:sz w:val="24"/>
          <w:szCs w:val="24"/>
        </w:rPr>
        <w:t xml:space="preserve">: Issues and Challenges," investigates the socio-economic conditions, livelihood patterns, occupational experiences, and primary challenges encountered by women street vendors in the region. The research is anchored in the Informal Economy and Gender and </w:t>
      </w:r>
      <w:proofErr w:type="spellStart"/>
      <w:r w:rsidRPr="004F22EA">
        <w:rPr>
          <w:rFonts w:ascii="Times New Roman" w:eastAsia="Times New Roman" w:hAnsi="Times New Roman" w:cs="Times New Roman"/>
          <w:bCs/>
          <w:sz w:val="24"/>
          <w:szCs w:val="24"/>
        </w:rPr>
        <w:t>Labour</w:t>
      </w:r>
      <w:proofErr w:type="spellEnd"/>
      <w:r w:rsidRPr="004F22EA">
        <w:rPr>
          <w:rFonts w:ascii="Times New Roman" w:eastAsia="Times New Roman" w:hAnsi="Times New Roman" w:cs="Times New Roman"/>
          <w:bCs/>
          <w:sz w:val="24"/>
          <w:szCs w:val="24"/>
        </w:rPr>
        <w:t xml:space="preserve"> frameworks and utilizes primary data collected from 25 women street vendors through a field survey conducted between December 2025 and July 2026. The findings indicate that street vending is primarily a livelihood strategy driven by economic necessity, with 88% of respondents entering the occupation for economic reasons. The majority of respondents have limited educational attainment and long-term involvement in vending. Furthermore, the study reveals that 68% of the respondents contribute their entire earnings to household income, yet only 32% have full control over their earnings, highlighting significant gender-based economic vulnerability. A considerable proportion of vendors are engaged in selling vegetables and fruits, with 44% working up to seven days a week. Access to formal finance is limited, with only 8% obtaining capital from banks, while 52% rely on moneylenders. Major challenges include inadequate storage, insecure vending spaces, poor sanitation, insufficient workplace facilities, adverse weather, restricted credit, harassment, health concerns, and market competition. The study advocates for gender-responsive and livelihood-oriented interventions, such as secure vending spaces, improved infrastructure, accessible institutional credit, social protection, collective organization, and climate-resilient market facilities, to enhance the livelihood security and socio-economic well-being of women street vendors in South </w:t>
      </w:r>
      <w:proofErr w:type="spellStart"/>
      <w:r w:rsidRPr="004F22EA">
        <w:rPr>
          <w:rFonts w:ascii="Times New Roman" w:eastAsia="Times New Roman" w:hAnsi="Times New Roman" w:cs="Times New Roman"/>
          <w:bCs/>
          <w:sz w:val="24"/>
          <w:szCs w:val="24"/>
        </w:rPr>
        <w:t>Kamrup</w:t>
      </w:r>
      <w:proofErr w:type="spellEnd"/>
      <w:r w:rsidRPr="004F22EA">
        <w:rPr>
          <w:rFonts w:ascii="Times New Roman" w:eastAsia="Times New Roman" w:hAnsi="Times New Roman" w:cs="Times New Roman"/>
          <w:bCs/>
          <w:sz w:val="24"/>
          <w:szCs w:val="24"/>
        </w:rPr>
        <w:t>.</w:t>
      </w:r>
    </w:p>
    <w:p w:rsidR="001A4105" w:rsidRDefault="001A4105"/>
    <w:sectPr w:rsidR="001A4105" w:rsidSect="001A41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608D5"/>
    <w:rsid w:val="000608D5"/>
    <w:rsid w:val="001A41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8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2026-10-26T05:22:00Z</dcterms:created>
  <dcterms:modified xsi:type="dcterms:W3CDTF">2026-10-26T05:23:00Z</dcterms:modified>
</cp:coreProperties>
</file>